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32" w:rsidRPr="00BE122A" w:rsidRDefault="00B24112">
      <w:pPr>
        <w:rPr>
          <w:b/>
          <w:sz w:val="22"/>
        </w:rPr>
      </w:pPr>
      <w:r w:rsidRPr="00BE122A">
        <w:rPr>
          <w:b/>
          <w:sz w:val="22"/>
        </w:rPr>
        <w:t>J’étudie une œuvre picturale</w:t>
      </w:r>
    </w:p>
    <w:p w:rsidR="009C7228" w:rsidRDefault="009C7228"/>
    <w:p w:rsidR="009C7228" w:rsidRDefault="009C7228" w:rsidP="009C7228">
      <w:pPr>
        <w:ind w:left="-709" w:right="-710"/>
      </w:pPr>
      <w:r>
        <w:t>A l’aide des sites internet suivants, chaque groupe remplit le tableau suivant et prépare une courte intervention orale pour présenter l’œuvre à la classe</w:t>
      </w:r>
    </w:p>
    <w:p w:rsidR="009C7228" w:rsidRDefault="009C7228" w:rsidP="009C7228">
      <w:pPr>
        <w:ind w:left="-709" w:right="-710"/>
      </w:pPr>
    </w:p>
    <w:p w:rsidR="009C7228" w:rsidRDefault="009C7228" w:rsidP="009C7228">
      <w:pPr>
        <w:ind w:left="-709" w:right="-710"/>
        <w:rPr>
          <w:b/>
          <w:bCs/>
        </w:rPr>
      </w:pPr>
      <w:r w:rsidRPr="009C7228">
        <w:rPr>
          <w:b/>
          <w:bCs/>
        </w:rPr>
        <w:t xml:space="preserve">La Liberté guidant le peuple - DELACROIX (1831) </w:t>
      </w:r>
    </w:p>
    <w:p w:rsidR="009C7228" w:rsidRPr="009C7228" w:rsidRDefault="005937E9" w:rsidP="009C7228">
      <w:pPr>
        <w:ind w:left="-709" w:right="-710"/>
      </w:pPr>
      <w:hyperlink r:id="rId4" w:history="1">
        <w:r w:rsidR="009C7228" w:rsidRPr="00661629">
          <w:rPr>
            <w:rStyle w:val="Lienhypertexte"/>
          </w:rPr>
          <w:t>http://www.histoire-image.org/site/oeuvre/analyse.php?i=234&amp;d=1&amp;v=1830&amp;w=1830</w:t>
        </w:r>
      </w:hyperlink>
      <w:r w:rsidR="009C7228">
        <w:t xml:space="preserve"> </w:t>
      </w:r>
    </w:p>
    <w:p w:rsidR="009C7228" w:rsidRDefault="009C7228" w:rsidP="009C7228">
      <w:pPr>
        <w:ind w:left="-709" w:right="-710"/>
        <w:rPr>
          <w:b/>
          <w:bCs/>
        </w:rPr>
      </w:pPr>
      <w:r w:rsidRPr="009C7228">
        <w:rPr>
          <w:b/>
          <w:bCs/>
        </w:rPr>
        <w:t xml:space="preserve">La République – DAUMIER (1848) </w:t>
      </w:r>
    </w:p>
    <w:p w:rsidR="009C7228" w:rsidRDefault="005937E9" w:rsidP="009C7228">
      <w:pPr>
        <w:ind w:left="-709" w:right="-710"/>
      </w:pPr>
      <w:hyperlink r:id="rId5" w:history="1">
        <w:r w:rsidR="009C7228" w:rsidRPr="00661629">
          <w:rPr>
            <w:rStyle w:val="Lienhypertexte"/>
          </w:rPr>
          <w:t>http://www.histoire-image.org/site/etude_comp/etude_comp_detail.php?i=97&amp;d=1&amp;v=1848&amp;w=1848&amp;id_sel=194</w:t>
        </w:r>
      </w:hyperlink>
    </w:p>
    <w:p w:rsidR="009C7228" w:rsidRDefault="005937E9" w:rsidP="009C7228">
      <w:pPr>
        <w:ind w:left="-709" w:right="-710"/>
      </w:pPr>
      <w:hyperlink r:id="rId6" w:history="1">
        <w:r w:rsidR="009C7228" w:rsidRPr="00661629">
          <w:rPr>
            <w:rStyle w:val="Lienhypertexte"/>
          </w:rPr>
          <w:t>http://www.musee-orsay.fr/fr/collections/catalogue-des-oeuvres/notice.html?no_cache=1&amp;nnumid=10865</w:t>
        </w:r>
      </w:hyperlink>
    </w:p>
    <w:p w:rsidR="009C7228" w:rsidRPr="009C7228" w:rsidRDefault="009C7228" w:rsidP="009C7228">
      <w:pPr>
        <w:ind w:left="-709" w:right="-710"/>
      </w:pPr>
      <w:r w:rsidRPr="009C7228">
        <w:rPr>
          <w:b/>
          <w:bCs/>
        </w:rPr>
        <w:t xml:space="preserve">La libératrice - STEINLEN (1903) </w:t>
      </w:r>
    </w:p>
    <w:p w:rsidR="009C7228" w:rsidRDefault="005937E9" w:rsidP="009C7228">
      <w:pPr>
        <w:ind w:left="-709" w:right="-710"/>
      </w:pPr>
      <w:hyperlink r:id="rId7" w:history="1">
        <w:r w:rsidR="009C7228" w:rsidRPr="00661629">
          <w:rPr>
            <w:rStyle w:val="Lienhypertexte"/>
          </w:rPr>
          <w:t>http://www2.emergences.fr/encyclo-sociale/?p=516</w:t>
        </w:r>
      </w:hyperlink>
      <w:r w:rsidR="009C7228">
        <w:t xml:space="preserve"> </w:t>
      </w:r>
      <w:r w:rsidR="009C7228" w:rsidRPr="009C7228">
        <w:t xml:space="preserve"> </w:t>
      </w:r>
    </w:p>
    <w:p w:rsidR="00482C4C" w:rsidRDefault="005937E9" w:rsidP="009C7228">
      <w:pPr>
        <w:ind w:left="-709" w:right="-710"/>
      </w:pPr>
      <w:hyperlink r:id="rId8" w:history="1">
        <w:r w:rsidR="00482C4C" w:rsidRPr="00661629">
          <w:rPr>
            <w:rStyle w:val="Lienhypertexte"/>
          </w:rPr>
          <w:t>http://www.caricaturesetcaricature.com/article-12263892.html</w:t>
        </w:r>
      </w:hyperlink>
      <w:r w:rsidR="00482C4C">
        <w:t xml:space="preserve"> </w:t>
      </w:r>
    </w:p>
    <w:p w:rsidR="009C7228" w:rsidRDefault="009C7228" w:rsidP="009C7228">
      <w:pPr>
        <w:ind w:left="-709" w:right="-710"/>
      </w:pPr>
    </w:p>
    <w:tbl>
      <w:tblPr>
        <w:tblStyle w:val="Grilledutableau"/>
        <w:tblW w:w="10740" w:type="dxa"/>
        <w:tblInd w:w="-709" w:type="dxa"/>
        <w:tblLook w:val="04A0"/>
      </w:tblPr>
      <w:tblGrid>
        <w:gridCol w:w="4219"/>
        <w:gridCol w:w="6521"/>
      </w:tblGrid>
      <w:tr w:rsidR="009C7228" w:rsidTr="00D16C49">
        <w:tc>
          <w:tcPr>
            <w:tcW w:w="4219" w:type="dxa"/>
          </w:tcPr>
          <w:p w:rsidR="009C7228" w:rsidRDefault="005F6A23" w:rsidP="005F6A23">
            <w:pPr>
              <w:ind w:right="136"/>
            </w:pPr>
            <w:r>
              <w:t>Identification de l’œuvre (Titre, auteur, date, dimension, lieu de conservation)</w:t>
            </w:r>
          </w:p>
        </w:tc>
        <w:tc>
          <w:tcPr>
            <w:tcW w:w="6521" w:type="dxa"/>
          </w:tcPr>
          <w:p w:rsidR="009C7228" w:rsidRDefault="009C7228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</w:tc>
      </w:tr>
      <w:tr w:rsidR="009C7228" w:rsidTr="00D16C49">
        <w:tc>
          <w:tcPr>
            <w:tcW w:w="4219" w:type="dxa"/>
          </w:tcPr>
          <w:p w:rsidR="009C7228" w:rsidRDefault="005F6A23" w:rsidP="005F6A23">
            <w:pPr>
              <w:ind w:right="136"/>
            </w:pPr>
            <w:r>
              <w:t>Nature de l’œuvre</w:t>
            </w:r>
          </w:p>
        </w:tc>
        <w:tc>
          <w:tcPr>
            <w:tcW w:w="6521" w:type="dxa"/>
          </w:tcPr>
          <w:p w:rsidR="009C7228" w:rsidRDefault="009C7228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</w:tc>
      </w:tr>
      <w:tr w:rsidR="00B55DAF" w:rsidTr="00D16C49">
        <w:tc>
          <w:tcPr>
            <w:tcW w:w="4219" w:type="dxa"/>
          </w:tcPr>
          <w:p w:rsidR="00B55DAF" w:rsidRDefault="00B55DAF" w:rsidP="005F6A23">
            <w:pPr>
              <w:ind w:right="136"/>
            </w:pPr>
            <w:r>
              <w:t>Sujet de l’œuvre</w:t>
            </w:r>
          </w:p>
          <w:p w:rsidR="00B55DAF" w:rsidRDefault="00B55DAF" w:rsidP="005F6A23">
            <w:pPr>
              <w:ind w:right="136"/>
            </w:pPr>
          </w:p>
          <w:p w:rsidR="00B55DAF" w:rsidRDefault="00B55DAF" w:rsidP="005F6A23">
            <w:pPr>
              <w:ind w:right="136"/>
            </w:pPr>
          </w:p>
        </w:tc>
        <w:tc>
          <w:tcPr>
            <w:tcW w:w="6521" w:type="dxa"/>
          </w:tcPr>
          <w:p w:rsidR="00B55DAF" w:rsidRDefault="00B55DAF" w:rsidP="009C7228">
            <w:pPr>
              <w:ind w:right="-710"/>
            </w:pPr>
          </w:p>
        </w:tc>
      </w:tr>
      <w:tr w:rsidR="005F6A23" w:rsidTr="00D16C49">
        <w:tc>
          <w:tcPr>
            <w:tcW w:w="4219" w:type="dxa"/>
          </w:tcPr>
          <w:p w:rsidR="005F6A23" w:rsidRDefault="005F6A23" w:rsidP="005F6A23">
            <w:pPr>
              <w:ind w:right="136"/>
            </w:pPr>
            <w:r>
              <w:t>Contexte historique</w:t>
            </w:r>
          </w:p>
        </w:tc>
        <w:tc>
          <w:tcPr>
            <w:tcW w:w="6521" w:type="dxa"/>
          </w:tcPr>
          <w:p w:rsidR="005F6A23" w:rsidRDefault="005F6A23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</w:tc>
      </w:tr>
      <w:tr w:rsidR="005F6A23" w:rsidTr="00D16C49">
        <w:tc>
          <w:tcPr>
            <w:tcW w:w="4219" w:type="dxa"/>
          </w:tcPr>
          <w:p w:rsidR="005F6A23" w:rsidRDefault="005F6A23" w:rsidP="00D16C49">
            <w:pPr>
              <w:ind w:right="136"/>
            </w:pPr>
            <w:r>
              <w:t xml:space="preserve">Description de l’œuvre </w:t>
            </w:r>
            <w:r w:rsidR="00D16C49">
              <w:t>(techniques utilisées)</w:t>
            </w:r>
          </w:p>
        </w:tc>
        <w:tc>
          <w:tcPr>
            <w:tcW w:w="6521" w:type="dxa"/>
          </w:tcPr>
          <w:p w:rsidR="005F6A23" w:rsidRDefault="005F6A23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</w:tc>
      </w:tr>
      <w:tr w:rsidR="005F6A23" w:rsidTr="00D16C49">
        <w:tc>
          <w:tcPr>
            <w:tcW w:w="4219" w:type="dxa"/>
          </w:tcPr>
          <w:p w:rsidR="005F6A23" w:rsidRDefault="00D16C49" w:rsidP="005F6A23">
            <w:pPr>
              <w:ind w:right="136"/>
            </w:pPr>
            <w:r>
              <w:t>Description de l’œuvre (éléments de la composition)</w:t>
            </w:r>
          </w:p>
        </w:tc>
        <w:tc>
          <w:tcPr>
            <w:tcW w:w="6521" w:type="dxa"/>
          </w:tcPr>
          <w:p w:rsidR="005F6A23" w:rsidRDefault="005F6A23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B55DAF" w:rsidRDefault="00B55DAF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</w:tc>
      </w:tr>
      <w:tr w:rsidR="00482C4C" w:rsidTr="00D16C49">
        <w:tc>
          <w:tcPr>
            <w:tcW w:w="4219" w:type="dxa"/>
          </w:tcPr>
          <w:p w:rsidR="00482C4C" w:rsidRDefault="00482C4C" w:rsidP="005F6A23">
            <w:pPr>
              <w:ind w:right="136"/>
            </w:pPr>
            <w:r>
              <w:t>Que ressentez-vous en regardant cette œuvre ?</w:t>
            </w:r>
          </w:p>
          <w:p w:rsidR="00482C4C" w:rsidRDefault="00482C4C" w:rsidP="005F6A23">
            <w:pPr>
              <w:ind w:right="136"/>
            </w:pPr>
          </w:p>
          <w:p w:rsidR="00482C4C" w:rsidRDefault="00482C4C" w:rsidP="005F6A23">
            <w:pPr>
              <w:ind w:right="136"/>
            </w:pPr>
          </w:p>
        </w:tc>
        <w:tc>
          <w:tcPr>
            <w:tcW w:w="6521" w:type="dxa"/>
          </w:tcPr>
          <w:p w:rsidR="00482C4C" w:rsidRDefault="00482C4C" w:rsidP="009C7228">
            <w:pPr>
              <w:ind w:right="-710"/>
            </w:pPr>
          </w:p>
        </w:tc>
      </w:tr>
      <w:tr w:rsidR="005F6A23" w:rsidTr="00D16C49">
        <w:tc>
          <w:tcPr>
            <w:tcW w:w="4219" w:type="dxa"/>
          </w:tcPr>
          <w:p w:rsidR="005F6A23" w:rsidRDefault="00D16C49" w:rsidP="005F6A23">
            <w:pPr>
              <w:ind w:right="136"/>
            </w:pPr>
            <w:r>
              <w:t>Quel sens politique l’auteur a-t-il voulu donner à son œuvre ?</w:t>
            </w:r>
          </w:p>
        </w:tc>
        <w:tc>
          <w:tcPr>
            <w:tcW w:w="6521" w:type="dxa"/>
          </w:tcPr>
          <w:p w:rsidR="005F6A23" w:rsidRDefault="005F6A23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  <w:p w:rsidR="00D16C49" w:rsidRDefault="00D16C49" w:rsidP="009C7228">
            <w:pPr>
              <w:ind w:right="-710"/>
            </w:pPr>
          </w:p>
        </w:tc>
      </w:tr>
    </w:tbl>
    <w:p w:rsidR="009C7228" w:rsidRPr="009C7228" w:rsidRDefault="009C7228" w:rsidP="009C7228">
      <w:pPr>
        <w:ind w:left="-709" w:right="-710"/>
      </w:pPr>
    </w:p>
    <w:p w:rsidR="009C7228" w:rsidRDefault="00D16C49" w:rsidP="009C7228">
      <w:pPr>
        <w:ind w:left="-709" w:right="-710"/>
      </w:pPr>
      <w:r>
        <w:t xml:space="preserve">A partir de </w:t>
      </w:r>
      <w:r w:rsidR="00482C4C">
        <w:t xml:space="preserve">préparez une présentation rapide de l’œuvre en insistant sur ce que cette œuvre apporte comme information sur la situation politique de l’année qu’elle représente  </w:t>
      </w:r>
    </w:p>
    <w:p w:rsidR="00482C4C" w:rsidRPr="00EB3A5A" w:rsidRDefault="00482C4C" w:rsidP="009C7228">
      <w:pPr>
        <w:ind w:left="-709" w:right="-710"/>
        <w:rPr>
          <w:u w:val="single"/>
        </w:rPr>
      </w:pPr>
      <w:r w:rsidRPr="00EB3A5A">
        <w:rPr>
          <w:b/>
          <w:u w:val="single"/>
        </w:rPr>
        <w:lastRenderedPageBreak/>
        <w:t>Document</w:t>
      </w:r>
      <w:r w:rsidR="00EB3A5A" w:rsidRPr="00EB3A5A">
        <w:rPr>
          <w:b/>
          <w:u w:val="single"/>
        </w:rPr>
        <w:t>s</w:t>
      </w:r>
      <w:r w:rsidRPr="00EB3A5A">
        <w:rPr>
          <w:b/>
          <w:u w:val="single"/>
        </w:rPr>
        <w:t xml:space="preserve"> complémentaire</w:t>
      </w:r>
      <w:r w:rsidR="00EB3A5A" w:rsidRPr="00EB3A5A">
        <w:rPr>
          <w:b/>
          <w:u w:val="single"/>
        </w:rPr>
        <w:t>s</w:t>
      </w:r>
      <w:r w:rsidRPr="00EB3A5A">
        <w:rPr>
          <w:u w:val="single"/>
        </w:rPr>
        <w:t> :</w:t>
      </w:r>
    </w:p>
    <w:p w:rsidR="00482C4C" w:rsidRDefault="00482C4C" w:rsidP="009C7228">
      <w:pPr>
        <w:ind w:left="-709" w:right="-710"/>
      </w:pPr>
    </w:p>
    <w:p w:rsidR="00EB3A5A" w:rsidRPr="00EB3A5A" w:rsidRDefault="00EB3A5A" w:rsidP="00EB3A5A">
      <w:pPr>
        <w:ind w:left="-709" w:right="-710"/>
        <w:rPr>
          <w:b/>
          <w:bCs/>
        </w:rPr>
      </w:pPr>
      <w:r w:rsidRPr="00EB3A5A">
        <w:rPr>
          <w:b/>
          <w:bCs/>
        </w:rPr>
        <w:t xml:space="preserve">La République – DAUMIER (1848) </w:t>
      </w:r>
    </w:p>
    <w:p w:rsidR="00EB3A5A" w:rsidRDefault="00EB3A5A" w:rsidP="00EB3A5A">
      <w:pPr>
        <w:ind w:left="-709" w:right="-710"/>
      </w:pPr>
      <w:r>
        <w:t>« </w:t>
      </w:r>
      <w:r w:rsidRPr="00EB3A5A">
        <w:t>Le gouvernement provisoire ouvre en mars un</w:t>
      </w:r>
      <w:r>
        <w:t xml:space="preserve"> </w:t>
      </w:r>
      <w:r w:rsidRPr="00EB3A5A">
        <w:t>concours pour la représentation d’une figure</w:t>
      </w:r>
      <w:r>
        <w:t xml:space="preserve"> </w:t>
      </w:r>
      <w:r w:rsidRPr="00EB3A5A">
        <w:t>peinte de la République : 450 peintures sont</w:t>
      </w:r>
      <w:r>
        <w:t xml:space="preserve"> </w:t>
      </w:r>
      <w:r w:rsidRPr="00EB3A5A">
        <w:t>envoyées à l’</w:t>
      </w:r>
      <w:proofErr w:type="spellStart"/>
      <w:r w:rsidRPr="00EB3A5A">
        <w:t>Ecole</w:t>
      </w:r>
      <w:proofErr w:type="spellEnd"/>
      <w:r w:rsidRPr="00EB3A5A">
        <w:t xml:space="preserve"> des </w:t>
      </w:r>
      <w:proofErr w:type="spellStart"/>
      <w:r w:rsidRPr="00EB3A5A">
        <w:t>Beaux-Arts</w:t>
      </w:r>
      <w:proofErr w:type="spellEnd"/>
      <w:r w:rsidRPr="00EB3A5A">
        <w:t>, parmi</w:t>
      </w:r>
      <w:r>
        <w:t xml:space="preserve"> </w:t>
      </w:r>
      <w:r w:rsidRPr="00EB3A5A">
        <w:t>lesquelles 20 sont sélectionnées, dont celle de</w:t>
      </w:r>
      <w:r>
        <w:t xml:space="preserve"> </w:t>
      </w:r>
      <w:r w:rsidRPr="00EB3A5A">
        <w:t>Daumier. La situation politique s’est cependant</w:t>
      </w:r>
      <w:r>
        <w:t xml:space="preserve"> </w:t>
      </w:r>
      <w:r w:rsidRPr="00EB3A5A">
        <w:t>transformée entre-temps, après les élections et les</w:t>
      </w:r>
      <w:r>
        <w:t xml:space="preserve"> </w:t>
      </w:r>
      <w:r w:rsidRPr="00EB3A5A">
        <w:t>journées de juin. Ledru-Rollin n’est plus ministre</w:t>
      </w:r>
      <w:r>
        <w:t xml:space="preserve"> </w:t>
      </w:r>
      <w:r w:rsidRPr="00EB3A5A">
        <w:t>et l’enthousiasme est retombé. Aucun prix n’est</w:t>
      </w:r>
      <w:r>
        <w:t xml:space="preserve"> </w:t>
      </w:r>
      <w:r w:rsidRPr="00EB3A5A">
        <w:t>décerné.</w:t>
      </w:r>
      <w:r>
        <w:t xml:space="preserve"> </w:t>
      </w:r>
      <w:r w:rsidRPr="00EB3A5A">
        <w:t xml:space="preserve">L’esquisse de Daumier, intitulée aussi </w:t>
      </w:r>
      <w:r w:rsidRPr="00EB3A5A">
        <w:rPr>
          <w:i/>
          <w:iCs/>
        </w:rPr>
        <w:t>La</w:t>
      </w:r>
      <w:r>
        <w:rPr>
          <w:i/>
          <w:iCs/>
        </w:rPr>
        <w:t xml:space="preserve"> </w:t>
      </w:r>
      <w:r w:rsidRPr="00EB3A5A">
        <w:rPr>
          <w:i/>
          <w:iCs/>
        </w:rPr>
        <w:t>République nourrit ses enfants et les instruit</w:t>
      </w:r>
      <w:r w:rsidRPr="00EB3A5A">
        <w:t>, revêt</w:t>
      </w:r>
      <w:r>
        <w:rPr>
          <w:i/>
          <w:iCs/>
        </w:rPr>
        <w:t xml:space="preserve"> </w:t>
      </w:r>
      <w:r w:rsidRPr="00EB3A5A">
        <w:t>des attributs qui vont symboliser la République</w:t>
      </w:r>
      <w:r>
        <w:rPr>
          <w:i/>
          <w:iCs/>
        </w:rPr>
        <w:t xml:space="preserve"> </w:t>
      </w:r>
      <w:r w:rsidRPr="00EB3A5A">
        <w:t>avancée : la chevelure abondante et non coiffée, la</w:t>
      </w:r>
      <w:r>
        <w:rPr>
          <w:i/>
          <w:iCs/>
        </w:rPr>
        <w:t xml:space="preserve"> </w:t>
      </w:r>
      <w:r w:rsidRPr="00EB3A5A">
        <w:t>poitrine nue, la peau brune, mais le spectateur de</w:t>
      </w:r>
      <w:r>
        <w:rPr>
          <w:i/>
          <w:iCs/>
        </w:rPr>
        <w:t xml:space="preserve"> </w:t>
      </w:r>
      <w:r w:rsidRPr="00EB3A5A">
        <w:t>1848 devait y retrouver plus sûrement les</w:t>
      </w:r>
      <w:r>
        <w:rPr>
          <w:i/>
          <w:iCs/>
        </w:rPr>
        <w:t xml:space="preserve"> </w:t>
      </w:r>
      <w:r w:rsidRPr="00EB3A5A">
        <w:t>principales caractéristiques iconographiques du</w:t>
      </w:r>
      <w:r>
        <w:rPr>
          <w:i/>
          <w:iCs/>
        </w:rPr>
        <w:t xml:space="preserve"> </w:t>
      </w:r>
      <w:r w:rsidRPr="00EB3A5A">
        <w:t>thème traditionnel de la Charité. La Charité, d’inspiration romaine et chrétienne,</w:t>
      </w:r>
      <w:r>
        <w:rPr>
          <w:i/>
          <w:iCs/>
        </w:rPr>
        <w:t xml:space="preserve"> </w:t>
      </w:r>
      <w:r w:rsidRPr="00EB3A5A">
        <w:t>rassemble les images de la Mère nourricière et de</w:t>
      </w:r>
      <w:r>
        <w:rPr>
          <w:i/>
          <w:iCs/>
        </w:rPr>
        <w:t xml:space="preserve"> </w:t>
      </w:r>
      <w:r w:rsidRPr="00EB3A5A">
        <w:t>la Femme protectrice et inspiratrice.</w:t>
      </w:r>
      <w:r>
        <w:t> »</w:t>
      </w:r>
    </w:p>
    <w:p w:rsidR="00EB3A5A" w:rsidRDefault="00EB3A5A" w:rsidP="00EB3A5A">
      <w:pPr>
        <w:ind w:left="-709" w:right="-710"/>
      </w:pPr>
    </w:p>
    <w:p w:rsidR="00EB3A5A" w:rsidRDefault="00EB3A5A" w:rsidP="009B66B0">
      <w:pPr>
        <w:ind w:left="-709" w:right="-710"/>
      </w:pPr>
      <w:r w:rsidRPr="00EB3A5A">
        <w:t>J. Lacouture nous dit à propos du tableau de Daumier : « en février 1848, au moment</w:t>
      </w:r>
      <w:r>
        <w:t xml:space="preserve"> </w:t>
      </w:r>
      <w:r w:rsidRPr="00EB3A5A">
        <w:t>où ses amis de l'opposition à la monarchie de Juillet prennent le pouvoir, H Daumier a</w:t>
      </w:r>
      <w:r>
        <w:t xml:space="preserve"> </w:t>
      </w:r>
      <w:r w:rsidRPr="00EB3A5A">
        <w:t>quarante ans. Il est au sommet d'un talent de caricaturiste universellement reconnu et haï par</w:t>
      </w:r>
      <w:r>
        <w:t xml:space="preserve"> </w:t>
      </w:r>
      <w:r w:rsidRPr="00EB3A5A">
        <w:t>les puissants. Cette révolution, c'est beaucoup mieux encore « sa » révolution que celle de</w:t>
      </w:r>
      <w:r>
        <w:t xml:space="preserve"> </w:t>
      </w:r>
      <w:r w:rsidRPr="00EB3A5A">
        <w:t>1789 ne l'a été pour David. Comment s'étonner alors qu'impatient de faire éclater, aux côtés</w:t>
      </w:r>
      <w:r>
        <w:t xml:space="preserve"> </w:t>
      </w:r>
      <w:r w:rsidRPr="00EB3A5A">
        <w:t>des autres, ses talents de peintre, il ait choisi pour modèle la république […] On a fait valoir</w:t>
      </w:r>
      <w:r>
        <w:t xml:space="preserve"> </w:t>
      </w:r>
      <w:r w:rsidRPr="00EB3A5A">
        <w:t>que cet interprète passionné de la réalité ne pouvait être inspiré par l'allégorie, et qu'en ce</w:t>
      </w:r>
      <w:r>
        <w:t xml:space="preserve"> </w:t>
      </w:r>
      <w:r w:rsidRPr="00EB3A5A">
        <w:t>sens, l'œuvre est un échec […] mais, c'est encore un chef d'</w:t>
      </w:r>
      <w:r w:rsidR="009B66B0" w:rsidRPr="00EB3A5A">
        <w:t>œuvre</w:t>
      </w:r>
      <w:r w:rsidRPr="00EB3A5A">
        <w:t xml:space="preserve"> par la puissance tranquille</w:t>
      </w:r>
      <w:r w:rsidR="009B66B0">
        <w:t xml:space="preserve"> </w:t>
      </w:r>
      <w:r w:rsidRPr="00EB3A5A">
        <w:t>des formes, la sobriété des effets, la force des indications, la gravité du message.</w:t>
      </w:r>
      <w:r w:rsidR="009B66B0">
        <w:t xml:space="preserve"> </w:t>
      </w:r>
      <w:r w:rsidRPr="00EB3A5A">
        <w:t>Cette république aux mamelles de terre cuite vouée à nourrir et à instruire, si fière et si</w:t>
      </w:r>
      <w:r w:rsidR="009B66B0">
        <w:t xml:space="preserve"> </w:t>
      </w:r>
      <w:r w:rsidRPr="00EB3A5A">
        <w:t>insoucieuse de plaire, et dont le drapeau enroulé n'appelle à aucune bataille, ne prétend</w:t>
      </w:r>
      <w:r w:rsidR="009B66B0">
        <w:t xml:space="preserve"> «</w:t>
      </w:r>
      <w:r w:rsidRPr="00EB3A5A">
        <w:t>abreuver les sillons » de nul sang ennemi et n'incite qu'à la plus studieuse des paix, n'est-ce</w:t>
      </w:r>
      <w:r w:rsidR="009B66B0">
        <w:t xml:space="preserve"> </w:t>
      </w:r>
      <w:r w:rsidRPr="00EB3A5A">
        <w:t>pas bien celle qu'attendait un peuple fatigué par l'aventure impériale, les revanches</w:t>
      </w:r>
      <w:r w:rsidR="009B66B0">
        <w:t xml:space="preserve"> </w:t>
      </w:r>
      <w:r w:rsidRPr="00EB3A5A">
        <w:t>monarchistes, les cocoricos de Monsieur Thiers et le conservatisme impassible de François</w:t>
      </w:r>
      <w:r w:rsidR="009B66B0">
        <w:t xml:space="preserve"> </w:t>
      </w:r>
      <w:r w:rsidRPr="00EB3A5A">
        <w:t>Guizot. Un idéal de la terre et du livre s'exprime ici dans ses formes les plus réalistes, si solide</w:t>
      </w:r>
      <w:r w:rsidR="009B66B0">
        <w:t xml:space="preserve"> </w:t>
      </w:r>
      <w:r w:rsidRPr="00EB3A5A">
        <w:t>en apparence, si pesamment, si généreusem</w:t>
      </w:r>
      <w:r w:rsidR="009B66B0">
        <w:t xml:space="preserve">ent solide. Cette république n </w:t>
      </w:r>
      <w:r w:rsidRPr="00EB3A5A">
        <w:t>vivra pas quatre</w:t>
      </w:r>
      <w:r w:rsidR="009B66B0">
        <w:t xml:space="preserve"> </w:t>
      </w:r>
      <w:r w:rsidRPr="00EB3A5A">
        <w:t>ans … »</w:t>
      </w:r>
    </w:p>
    <w:p w:rsidR="00EB3A5A" w:rsidRPr="00EB3A5A" w:rsidRDefault="00EB3A5A" w:rsidP="00EB3A5A">
      <w:pPr>
        <w:ind w:left="-709" w:right="-710"/>
        <w:rPr>
          <w:i/>
          <w:iCs/>
        </w:rPr>
      </w:pPr>
    </w:p>
    <w:p w:rsidR="00EB3A5A" w:rsidRPr="00EB3A5A" w:rsidRDefault="00EB3A5A" w:rsidP="00EB3A5A">
      <w:pPr>
        <w:ind w:left="-709" w:right="-710"/>
      </w:pPr>
      <w:r w:rsidRPr="00EB3A5A">
        <w:rPr>
          <w:b/>
          <w:bCs/>
        </w:rPr>
        <w:t xml:space="preserve">La libératrice - STEINLEN (1903) </w:t>
      </w:r>
    </w:p>
    <w:p w:rsidR="00044B1F" w:rsidRPr="00044B1F" w:rsidRDefault="00EB3A5A" w:rsidP="00EB3A5A">
      <w:pPr>
        <w:ind w:left="-709" w:right="-710"/>
      </w:pPr>
      <w:r w:rsidRPr="00EB3A5A">
        <w:t xml:space="preserve"> </w:t>
      </w:r>
      <w:r>
        <w:t>« </w:t>
      </w:r>
      <w:r w:rsidR="00044B1F" w:rsidRPr="00044B1F">
        <w:t>M. Agulhon (</w:t>
      </w:r>
      <w:r w:rsidR="00044B1F" w:rsidRPr="00044B1F">
        <w:rPr>
          <w:i/>
          <w:iCs/>
        </w:rPr>
        <w:t>Marianne au pouvoir), dit à propos du tableau de Steinlen que « la même femme</w:t>
      </w:r>
      <w:r w:rsidR="00044B1F">
        <w:rPr>
          <w:i/>
          <w:iCs/>
        </w:rPr>
        <w:t xml:space="preserve"> </w:t>
      </w:r>
      <w:r w:rsidR="00044B1F" w:rsidRPr="00044B1F">
        <w:t>au bonnet phrygien lui a servi dans ses moments de rencontre avec le mouvement ouvrier,</w:t>
      </w:r>
      <w:r w:rsidR="00044B1F">
        <w:t xml:space="preserve"> </w:t>
      </w:r>
      <w:r w:rsidR="00044B1F" w:rsidRPr="00044B1F">
        <w:t>lorsqu'il a voulu en traduire l'appel à la lutte des classes.</w:t>
      </w:r>
      <w:r w:rsidR="00044B1F">
        <w:t xml:space="preserve"> </w:t>
      </w:r>
      <w:r w:rsidR="00044B1F" w:rsidRPr="00044B1F">
        <w:t>Simplement – mais c'est plus qu'un</w:t>
      </w:r>
      <w:r w:rsidR="00044B1F">
        <w:t xml:space="preserve"> </w:t>
      </w:r>
      <w:r w:rsidR="00044B1F" w:rsidRPr="00044B1F">
        <w:t>détail – la robe devient rouge et la posture véhémente. C'est la libératrice (ou l'émancipatrice).[…] Plus déesse que jamais, avec sa taille surhumaine et sa façon de planer dans les airs, elle</w:t>
      </w:r>
      <w:r w:rsidR="00044B1F">
        <w:t xml:space="preserve"> </w:t>
      </w:r>
      <w:r w:rsidR="00044B1F" w:rsidRPr="00044B1F">
        <w:t>entraîne à l'assaut du Veau d'or une foule d'ouvriers faméliques dont les uns tiennent le pic du</w:t>
      </w:r>
      <w:r w:rsidR="00044B1F">
        <w:t xml:space="preserve"> </w:t>
      </w:r>
      <w:r w:rsidR="00044B1F" w:rsidRPr="00044B1F">
        <w:t xml:space="preserve">mineur et les autres les chaînes de l'homme asservi.». </w:t>
      </w:r>
    </w:p>
    <w:p w:rsidR="00482C4C" w:rsidRDefault="00482C4C" w:rsidP="009C7228">
      <w:pPr>
        <w:ind w:left="-709" w:right="-710"/>
      </w:pPr>
    </w:p>
    <w:sectPr w:rsidR="00482C4C" w:rsidSect="00B55DAF">
      <w:pgSz w:w="11906" w:h="16838" w:code="9"/>
      <w:pgMar w:top="568" w:right="141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24112"/>
    <w:rsid w:val="00044B1F"/>
    <w:rsid w:val="000D460B"/>
    <w:rsid w:val="001F2BF6"/>
    <w:rsid w:val="00482C4C"/>
    <w:rsid w:val="004D6415"/>
    <w:rsid w:val="00522A6F"/>
    <w:rsid w:val="0053266E"/>
    <w:rsid w:val="005806CE"/>
    <w:rsid w:val="005937E9"/>
    <w:rsid w:val="005F6A23"/>
    <w:rsid w:val="009B66B0"/>
    <w:rsid w:val="009B73C8"/>
    <w:rsid w:val="009C7228"/>
    <w:rsid w:val="00A67525"/>
    <w:rsid w:val="00B24112"/>
    <w:rsid w:val="00B26C4D"/>
    <w:rsid w:val="00B55DAF"/>
    <w:rsid w:val="00BE122A"/>
    <w:rsid w:val="00C07B4F"/>
    <w:rsid w:val="00D16C49"/>
    <w:rsid w:val="00D80932"/>
    <w:rsid w:val="00E26AB8"/>
    <w:rsid w:val="00EB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722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722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C7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caturesetcaricature.com/article-1226389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emergences.fr/encyclo-sociale/?p=5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e-orsay.fr/fr/collections/catalogue-des-oeuvres/notice.html?no_cache=1&amp;nnumid=10865" TargetMode="External"/><Relationship Id="rId5" Type="http://schemas.openxmlformats.org/officeDocument/2006/relationships/hyperlink" Target="http://www.histoire-image.org/site/etude_comp/etude_comp_detail.php?i=97&amp;d=1&amp;v=1848&amp;w=1848&amp;id_sel=19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istoire-image.org/site/oeuvre/analyse.php?i=234&amp;d=1&amp;v=1830&amp;w=183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5</cp:revision>
  <dcterms:created xsi:type="dcterms:W3CDTF">2011-01-11T16:08:00Z</dcterms:created>
  <dcterms:modified xsi:type="dcterms:W3CDTF">2011-02-07T18:46:00Z</dcterms:modified>
</cp:coreProperties>
</file>